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DA8F2" w14:textId="77777777" w:rsidR="00551A22" w:rsidRDefault="007965F8">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E97E46">
        <w:rPr>
          <w:b/>
          <w:noProof/>
          <w:sz w:val="24"/>
        </w:rPr>
        <w:t>4</w:t>
      </w:r>
      <w:r w:rsidR="00835194">
        <w:rPr>
          <w:b/>
          <w:noProof/>
          <w:sz w:val="24"/>
        </w:rPr>
        <w:t>20</w:t>
      </w:r>
    </w:p>
    <w:p w14:paraId="480727A0" w14:textId="77777777" w:rsidR="00551A22" w:rsidRDefault="007965F8">
      <w:pPr>
        <w:pStyle w:val="CRCoverPage"/>
        <w:outlineLvl w:val="0"/>
        <w:rPr>
          <w:b/>
          <w:noProof/>
          <w:sz w:val="24"/>
        </w:rPr>
      </w:pPr>
      <w:r>
        <w:rPr>
          <w:b/>
          <w:noProof/>
          <w:sz w:val="24"/>
        </w:rPr>
        <w:t>E-Meeting, 16th – 24th April 2020</w:t>
      </w:r>
    </w:p>
    <w:p w14:paraId="55880B8D" w14:textId="77777777" w:rsidR="00551A22" w:rsidRDefault="00551A22">
      <w:pPr>
        <w:rPr>
          <w:rFonts w:ascii="Arial" w:hAnsi="Arial" w:cs="Arial"/>
        </w:rPr>
      </w:pPr>
    </w:p>
    <w:p w14:paraId="5F3005AD" w14:textId="77777777" w:rsidR="00551A22" w:rsidRDefault="007965F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3F15B0">
        <w:rPr>
          <w:rFonts w:ascii="Arial" w:hAnsi="Arial" w:cs="Arial"/>
          <w:b/>
          <w:sz w:val="22"/>
          <w:szCs w:val="22"/>
        </w:rPr>
        <w:t>N</w:t>
      </w:r>
      <w:r w:rsidR="0048772B">
        <w:rPr>
          <w:rFonts w:ascii="Arial" w:hAnsi="Arial" w:cs="Arial"/>
          <w:b/>
          <w:sz w:val="22"/>
          <w:szCs w:val="22"/>
        </w:rPr>
        <w:t xml:space="preserve">etwork </w:t>
      </w:r>
      <w:r w:rsidR="003F15B0">
        <w:rPr>
          <w:rFonts w:ascii="Arial" w:hAnsi="Arial" w:cs="Arial"/>
          <w:b/>
          <w:sz w:val="22"/>
          <w:szCs w:val="22"/>
        </w:rPr>
        <w:t>A</w:t>
      </w:r>
      <w:r w:rsidR="0048772B">
        <w:rPr>
          <w:rFonts w:ascii="Arial" w:hAnsi="Arial" w:cs="Arial"/>
          <w:b/>
          <w:sz w:val="22"/>
          <w:szCs w:val="22"/>
        </w:rPr>
        <w:t xml:space="preserve">rea </w:t>
      </w:r>
      <w:r w:rsidR="003F15B0">
        <w:rPr>
          <w:rFonts w:ascii="Arial" w:hAnsi="Arial" w:cs="Arial"/>
          <w:b/>
          <w:sz w:val="22"/>
          <w:szCs w:val="22"/>
        </w:rPr>
        <w:t>I</w:t>
      </w:r>
      <w:r w:rsidR="0048772B">
        <w:rPr>
          <w:rFonts w:ascii="Arial" w:hAnsi="Arial" w:cs="Arial"/>
          <w:b/>
          <w:sz w:val="22"/>
          <w:szCs w:val="22"/>
        </w:rPr>
        <w:t xml:space="preserve">nformation in BDT </w:t>
      </w:r>
      <w:r w:rsidR="003F15B0">
        <w:rPr>
          <w:rFonts w:ascii="Arial" w:hAnsi="Arial" w:cs="Arial"/>
          <w:b/>
          <w:sz w:val="22"/>
          <w:szCs w:val="22"/>
        </w:rPr>
        <w:t>P</w:t>
      </w:r>
      <w:r w:rsidR="0048772B">
        <w:rPr>
          <w:rFonts w:ascii="Arial" w:hAnsi="Arial" w:cs="Arial"/>
          <w:b/>
          <w:sz w:val="22"/>
          <w:szCs w:val="22"/>
        </w:rPr>
        <w:t>olicy</w:t>
      </w:r>
    </w:p>
    <w:p w14:paraId="50569570" w14:textId="77777777" w:rsidR="00551A22" w:rsidRDefault="007965F8">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14:paraId="24AFD07E" w14:textId="77777777" w:rsidR="00551A22" w:rsidRDefault="007965F8">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964AA2">
        <w:rPr>
          <w:rFonts w:ascii="Arial" w:hAnsi="Arial" w:cs="Arial"/>
          <w:b/>
          <w:bCs/>
          <w:sz w:val="22"/>
          <w:szCs w:val="22"/>
        </w:rPr>
        <w:t>Rel-16</w:t>
      </w:r>
    </w:p>
    <w:bookmarkEnd w:id="2"/>
    <w:bookmarkEnd w:id="3"/>
    <w:bookmarkEnd w:id="4"/>
    <w:p w14:paraId="07DE2D58" w14:textId="77777777" w:rsidR="00551A22" w:rsidRDefault="007965F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E66D98">
        <w:rPr>
          <w:rFonts w:ascii="Arial" w:hAnsi="Arial" w:cs="Arial"/>
          <w:b/>
          <w:bCs/>
          <w:sz w:val="22"/>
          <w:szCs w:val="22"/>
        </w:rPr>
        <w:t>xBDT</w:t>
      </w:r>
      <w:r w:rsidR="0036408B">
        <w:rPr>
          <w:rFonts w:ascii="Arial" w:hAnsi="Arial" w:cs="Arial"/>
          <w:b/>
          <w:bCs/>
          <w:sz w:val="22"/>
          <w:szCs w:val="22"/>
        </w:rPr>
        <w:t xml:space="preserve"> / eNA</w:t>
      </w:r>
    </w:p>
    <w:p w14:paraId="717E4BF4" w14:textId="77777777" w:rsidR="00551A22" w:rsidRDefault="00551A22">
      <w:pPr>
        <w:spacing w:after="60"/>
        <w:ind w:left="1985" w:hanging="1985"/>
        <w:rPr>
          <w:rFonts w:ascii="Arial" w:hAnsi="Arial" w:cs="Arial"/>
          <w:b/>
          <w:sz w:val="22"/>
          <w:szCs w:val="22"/>
        </w:rPr>
      </w:pPr>
    </w:p>
    <w:p w14:paraId="1534B852" w14:textId="77777777" w:rsidR="00551A22" w:rsidRDefault="007965F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64AA2">
        <w:rPr>
          <w:rFonts w:ascii="Arial" w:hAnsi="Arial" w:cs="Arial"/>
          <w:b/>
          <w:sz w:val="22"/>
          <w:szCs w:val="22"/>
        </w:rPr>
        <w:t>CT3</w:t>
      </w:r>
    </w:p>
    <w:p w14:paraId="228FCBD3" w14:textId="77777777" w:rsidR="00551A22" w:rsidRDefault="007965F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64AA2">
        <w:rPr>
          <w:rFonts w:ascii="Arial" w:hAnsi="Arial" w:cs="Arial"/>
          <w:b/>
          <w:bCs/>
          <w:sz w:val="22"/>
          <w:szCs w:val="22"/>
        </w:rPr>
        <w:t>SA</w:t>
      </w:r>
      <w:r w:rsidR="00E66D98">
        <w:rPr>
          <w:rFonts w:ascii="Arial" w:hAnsi="Arial" w:cs="Arial"/>
          <w:b/>
          <w:bCs/>
          <w:sz w:val="22"/>
          <w:szCs w:val="22"/>
        </w:rPr>
        <w:t>2</w:t>
      </w:r>
    </w:p>
    <w:p w14:paraId="018B33AD" w14:textId="77777777" w:rsidR="00551A22" w:rsidRDefault="007965F8">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p>
    <w:bookmarkEnd w:id="5"/>
    <w:bookmarkEnd w:id="6"/>
    <w:p w14:paraId="544A150A" w14:textId="77777777" w:rsidR="00551A22" w:rsidRDefault="00551A22">
      <w:pPr>
        <w:spacing w:after="60"/>
        <w:ind w:left="1985" w:hanging="1985"/>
        <w:rPr>
          <w:rFonts w:ascii="Arial" w:hAnsi="Arial" w:cs="Arial"/>
          <w:bCs/>
        </w:rPr>
      </w:pPr>
    </w:p>
    <w:p w14:paraId="39160C62" w14:textId="77777777" w:rsidR="00471E5B" w:rsidRPr="0062403F" w:rsidRDefault="00471E5B" w:rsidP="00471E5B">
      <w:pPr>
        <w:tabs>
          <w:tab w:val="left" w:pos="2268"/>
        </w:tabs>
        <w:rPr>
          <w:rFonts w:ascii="Arial" w:hAnsi="Arial" w:cs="Arial"/>
          <w:bCs/>
        </w:rPr>
      </w:pPr>
      <w:r w:rsidRPr="0062403F">
        <w:rPr>
          <w:rFonts w:ascii="Arial" w:hAnsi="Arial" w:cs="Arial"/>
          <w:b/>
        </w:rPr>
        <w:t>Contact Person:</w:t>
      </w:r>
      <w:r w:rsidRPr="0062403F">
        <w:rPr>
          <w:rFonts w:ascii="Arial" w:hAnsi="Arial" w:cs="Arial"/>
          <w:bCs/>
        </w:rPr>
        <w:tab/>
      </w:r>
    </w:p>
    <w:p w14:paraId="1DE5D230" w14:textId="77777777" w:rsidR="00471E5B" w:rsidRPr="0095571E" w:rsidRDefault="00471E5B" w:rsidP="00471E5B">
      <w:pPr>
        <w:pStyle w:val="Contact"/>
        <w:tabs>
          <w:tab w:val="clear" w:pos="2268"/>
        </w:tabs>
        <w:rPr>
          <w:b w:val="0"/>
          <w:lang w:val="es-ES"/>
        </w:rPr>
      </w:pPr>
      <w:r w:rsidRPr="0095571E">
        <w:rPr>
          <w:lang w:val="es-ES"/>
        </w:rPr>
        <w:t>Name:</w:t>
      </w:r>
      <w:r w:rsidRPr="0095571E">
        <w:rPr>
          <w:bCs/>
          <w:lang w:val="es-ES"/>
        </w:rPr>
        <w:tab/>
      </w:r>
      <w:r>
        <w:rPr>
          <w:b w:val="0"/>
          <w:lang w:val="es-ES"/>
        </w:rPr>
        <w:t>Yali Yan</w:t>
      </w:r>
    </w:p>
    <w:p w14:paraId="14BD32F6" w14:textId="77777777" w:rsidR="00471E5B" w:rsidRPr="009743C5" w:rsidRDefault="00471E5B" w:rsidP="00471E5B">
      <w:pPr>
        <w:pStyle w:val="Contact"/>
        <w:tabs>
          <w:tab w:val="clear" w:pos="2268"/>
        </w:tabs>
        <w:rPr>
          <w:bCs/>
          <w:lang w:val="es-ES"/>
        </w:rPr>
      </w:pPr>
      <w:r w:rsidRPr="009743C5">
        <w:rPr>
          <w:lang w:val="es-ES"/>
        </w:rPr>
        <w:t>Tel. Number:</w:t>
      </w:r>
      <w:r w:rsidRPr="009743C5">
        <w:rPr>
          <w:bCs/>
          <w:lang w:val="es-ES"/>
        </w:rPr>
        <w:tab/>
      </w:r>
      <w:r w:rsidRPr="009743C5">
        <w:rPr>
          <w:b w:val="0"/>
          <w:lang w:val="es-ES"/>
        </w:rPr>
        <w:t xml:space="preserve">+ </w:t>
      </w:r>
      <w:r>
        <w:rPr>
          <w:b w:val="0"/>
          <w:lang w:val="es-ES"/>
        </w:rPr>
        <w:t>86 15800958428</w:t>
      </w:r>
    </w:p>
    <w:p w14:paraId="3958D1B2" w14:textId="77777777" w:rsidR="00471E5B" w:rsidRPr="00796664" w:rsidRDefault="00471E5B" w:rsidP="00471E5B">
      <w:pPr>
        <w:pStyle w:val="Contact"/>
        <w:tabs>
          <w:tab w:val="clear" w:pos="2268"/>
        </w:tabs>
        <w:rPr>
          <w:bCs/>
          <w:color w:val="0000FF"/>
        </w:rPr>
      </w:pPr>
      <w:r>
        <w:rPr>
          <w:color w:val="0000FF"/>
        </w:rPr>
        <w:t>E-mail Address:</w:t>
      </w:r>
      <w:r>
        <w:rPr>
          <w:bCs/>
          <w:color w:val="0000FF"/>
        </w:rPr>
        <w:tab/>
      </w:r>
      <w:r>
        <w:rPr>
          <w:b w:val="0"/>
          <w:bCs/>
          <w:color w:val="0000FF"/>
        </w:rPr>
        <w:t>yanyali@huawei.com</w:t>
      </w:r>
    </w:p>
    <w:p w14:paraId="1F717AB3" w14:textId="77777777" w:rsidR="00551A22" w:rsidRDefault="007965F8" w:rsidP="00964AA2">
      <w:pPr>
        <w:spacing w:after="60"/>
        <w:ind w:left="1985" w:hanging="1985"/>
        <w:rPr>
          <w:rFonts w:ascii="Arial" w:hAnsi="Arial" w:cs="Arial"/>
          <w:b/>
          <w:bCs/>
          <w:sz w:val="22"/>
          <w:szCs w:val="22"/>
        </w:rPr>
      </w:pPr>
      <w:r>
        <w:rPr>
          <w:rFonts w:ascii="Arial" w:hAnsi="Arial" w:cs="Arial"/>
          <w:b/>
          <w:bCs/>
          <w:sz w:val="22"/>
          <w:szCs w:val="22"/>
        </w:rPr>
        <w:tab/>
      </w:r>
    </w:p>
    <w:p w14:paraId="5F7CE11E" w14:textId="77777777" w:rsidR="00551A22" w:rsidRDefault="007965F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0"/>
            <w:rFonts w:ascii="Arial" w:hAnsi="Arial" w:cs="Arial"/>
            <w:b/>
            <w:sz w:val="22"/>
            <w:szCs w:val="22"/>
          </w:rPr>
          <w:t>mailto:3GPPLiaison@etsi.org</w:t>
        </w:r>
      </w:hyperlink>
    </w:p>
    <w:p w14:paraId="54D52FA9" w14:textId="77777777" w:rsidR="00551A22" w:rsidRDefault="00551A22">
      <w:pPr>
        <w:spacing w:after="60"/>
        <w:ind w:left="1985" w:hanging="1985"/>
        <w:rPr>
          <w:rFonts w:ascii="Arial" w:hAnsi="Arial" w:cs="Arial"/>
          <w:b/>
        </w:rPr>
      </w:pPr>
    </w:p>
    <w:p w14:paraId="11925897" w14:textId="77777777" w:rsidR="00551A22" w:rsidRDefault="007965F8">
      <w:pPr>
        <w:spacing w:after="60"/>
        <w:ind w:left="1985" w:hanging="1985"/>
        <w:rPr>
          <w:rFonts w:ascii="Arial" w:hAnsi="Arial" w:cs="Arial"/>
          <w:bCs/>
        </w:rPr>
      </w:pPr>
      <w:r>
        <w:rPr>
          <w:rFonts w:ascii="Arial" w:hAnsi="Arial" w:cs="Arial"/>
          <w:b/>
        </w:rPr>
        <w:t>Attachments:</w:t>
      </w:r>
      <w:r>
        <w:rPr>
          <w:rFonts w:ascii="Arial" w:hAnsi="Arial" w:cs="Arial"/>
          <w:bCs/>
        </w:rPr>
        <w:tab/>
      </w:r>
      <w:r w:rsidR="007A22B2">
        <w:rPr>
          <w:rFonts w:ascii="Arial" w:hAnsi="Arial" w:cs="Arial"/>
          <w:bCs/>
        </w:rPr>
        <w:t>None.</w:t>
      </w:r>
    </w:p>
    <w:p w14:paraId="365D4570" w14:textId="77777777" w:rsidR="00551A22" w:rsidRDefault="007965F8">
      <w:pPr>
        <w:pStyle w:val="1"/>
      </w:pPr>
      <w:r>
        <w:t>1</w:t>
      </w:r>
      <w:r>
        <w:tab/>
        <w:t>Overall description</w:t>
      </w:r>
    </w:p>
    <w:p w14:paraId="333DB673" w14:textId="402AD4AF" w:rsidR="00AC2D07" w:rsidRDefault="00E15DAE" w:rsidP="00FD738C">
      <w:r>
        <w:t>CT3 analysed the recent changes in SA2 TSs to finalize work on eNA and xBDT work items</w:t>
      </w:r>
      <w:r w:rsidR="002A46DD">
        <w:t xml:space="preserve"> and would like to clarify usage of a Network Area Information</w:t>
      </w:r>
      <w:r w:rsidR="00AC2D07">
        <w:rPr>
          <w:rFonts w:hint="eastAsia"/>
        </w:rPr>
        <w:t xml:space="preserve"> related </w:t>
      </w:r>
      <w:r w:rsidR="00944C39">
        <w:t xml:space="preserve">to </w:t>
      </w:r>
      <w:r w:rsidR="00AC2D07">
        <w:rPr>
          <w:rFonts w:hint="eastAsia"/>
        </w:rPr>
        <w:t>background data transfer policy negotiations</w:t>
      </w:r>
      <w:r w:rsidR="00AC2D07">
        <w:t>.</w:t>
      </w:r>
    </w:p>
    <w:p w14:paraId="618D2EAB" w14:textId="060CD39E" w:rsidR="004824F0" w:rsidRPr="006A6FF7" w:rsidRDefault="00340D19" w:rsidP="00FD738C">
      <w:r>
        <w:rPr>
          <w:rFonts w:hint="eastAsia"/>
        </w:rPr>
        <w:t>A</w:t>
      </w:r>
      <w:r>
        <w:t xml:space="preserve">s defined in clause </w:t>
      </w:r>
      <w:r w:rsidR="00E30752">
        <w:t>6.1.2.4</w:t>
      </w:r>
      <w:r>
        <w:t xml:space="preserve"> of TS 23.</w:t>
      </w:r>
      <w:r w:rsidR="0018478B">
        <w:t>503</w:t>
      </w:r>
      <w:r>
        <w:t>,</w:t>
      </w:r>
      <w:r w:rsidR="00ED6176">
        <w:t xml:space="preserve"> </w:t>
      </w:r>
      <w:r w:rsidR="004824F0" w:rsidRPr="00B62EB9">
        <w:rPr>
          <w:i/>
        </w:rPr>
        <w:t>the AF request shall contain an ASP identifier, the volume of data to be tra</w:t>
      </w:r>
      <w:r w:rsidR="004824F0" w:rsidRPr="00712E0B">
        <w:rPr>
          <w:i/>
        </w:rPr>
        <w:t xml:space="preserve">nsferred per UE, the expected amount of UEs, the desired time window, the External Group Identifier and optionally, </w:t>
      </w:r>
      <w:r w:rsidR="004824F0" w:rsidRPr="00336C57">
        <w:rPr>
          <w:i/>
          <w:highlight w:val="yellow"/>
        </w:rPr>
        <w:t>Network Area Information</w:t>
      </w:r>
      <w:r w:rsidR="004824F0" w:rsidRPr="00712E0B">
        <w:rPr>
          <w:i/>
        </w:rPr>
        <w:t>, request for no</w:t>
      </w:r>
      <w:r w:rsidR="004824F0" w:rsidRPr="00B62EB9">
        <w:rPr>
          <w:i/>
        </w:rPr>
        <w:t>tification</w:t>
      </w:r>
      <w:r w:rsidR="004824F0" w:rsidRPr="006A6FF7">
        <w:t>.</w:t>
      </w:r>
    </w:p>
    <w:p w14:paraId="19542DEB" w14:textId="7936FC8B" w:rsidR="00923CED" w:rsidRDefault="00923CED" w:rsidP="00923CED">
      <w:r>
        <w:t>C</w:t>
      </w:r>
      <w:r w:rsidRPr="006A6FF7">
        <w:t>lause 6.1.2.4 of TS 23.503</w:t>
      </w:r>
      <w:r>
        <w:t xml:space="preserve"> also specifies: "</w:t>
      </w:r>
      <w:r w:rsidRPr="00A041CB">
        <w:rPr>
          <w:i/>
          <w:iCs/>
        </w:rPr>
        <w:t xml:space="preserve">The selected background transfer policy is finally stored by the PCF in the UDR as part of the Policy Data Set. </w:t>
      </w:r>
      <w:r w:rsidRPr="00674F62">
        <w:rPr>
          <w:i/>
          <w:iCs/>
          <w:highlight w:val="yellow"/>
        </w:rPr>
        <w:t>The background transfer policy contains</w:t>
      </w:r>
      <w:r w:rsidRPr="00A041CB">
        <w:rPr>
          <w:i/>
          <w:iCs/>
        </w:rPr>
        <w:t xml:space="preserve"> the Background Data Transfer Reference ID, the volume of data to be transferred per UE, the expected amount of UEs, the one or more instances of the tuple (ASP id, DNN, S-NSSAI) and if the AF subscribed to notifications on changes of the negotiated BDT policy</w:t>
      </w:r>
      <w:r>
        <w:t>"</w:t>
      </w:r>
      <w:r w:rsidR="00E23B82">
        <w:t>.</w:t>
      </w:r>
    </w:p>
    <w:p w14:paraId="4D724891" w14:textId="7A95FAF2" w:rsidR="00923CED" w:rsidRPr="00EE7133" w:rsidRDefault="0049502F" w:rsidP="00923CED">
      <w:r>
        <w:rPr>
          <w:lang w:eastAsia="zh-CN"/>
        </w:rPr>
        <w:t>A</w:t>
      </w:r>
      <w:r w:rsidR="00923CED">
        <w:rPr>
          <w:lang w:eastAsia="zh-CN"/>
        </w:rPr>
        <w:t xml:space="preserve">bove requirements are aligned with steps 2b and 12 from clause </w:t>
      </w:r>
      <w:r w:rsidR="00923CED" w:rsidRPr="00140E21">
        <w:rPr>
          <w:lang w:eastAsia="zh-CN"/>
        </w:rPr>
        <w:t>4.16.7.2</w:t>
      </w:r>
      <w:r w:rsidR="00923CED">
        <w:rPr>
          <w:lang w:eastAsia="zh-CN"/>
        </w:rPr>
        <w:t xml:space="preserve"> of</w:t>
      </w:r>
      <w:r w:rsidR="00923CED">
        <w:t xml:space="preserve"> TS 23.502. E.g. step 12 specifies: </w:t>
      </w:r>
      <w:r w:rsidR="00923CED">
        <w:rPr>
          <w:i/>
          <w:iCs/>
        </w:rPr>
        <w:t>"</w:t>
      </w:r>
      <w:r w:rsidR="00923CED" w:rsidRPr="00A041CB">
        <w:rPr>
          <w:i/>
          <w:iCs/>
        </w:rPr>
        <w:t xml:space="preserve">The H-PCF stores the Background Data Transfer Reference ID together with </w:t>
      </w:r>
      <w:r w:rsidR="00923CED" w:rsidRPr="00A041CB">
        <w:rPr>
          <w:i/>
          <w:iCs/>
          <w:highlight w:val="yellow"/>
        </w:rPr>
        <w:t>the new transfer policy, the corresponding network area information</w:t>
      </w:r>
      <w:r w:rsidR="00923CED" w:rsidRPr="00A041CB">
        <w:rPr>
          <w:i/>
          <w:iCs/>
        </w:rPr>
        <w:t>, optionally the information of request for notification in the UDR by invoking Nudr_DM_Update</w:t>
      </w:r>
      <w:r w:rsidR="00923CED">
        <w:rPr>
          <w:i/>
          <w:iCs/>
        </w:rPr>
        <w:t>"</w:t>
      </w:r>
      <w:r w:rsidR="00923CED">
        <w:t>.</w:t>
      </w:r>
    </w:p>
    <w:p w14:paraId="00444E9C" w14:textId="42B4FA74" w:rsidR="008064E9" w:rsidRPr="006A6FF7" w:rsidRDefault="00480380" w:rsidP="00FD738C">
      <w:r>
        <w:t>However,</w:t>
      </w:r>
      <w:r w:rsidR="00C102BE" w:rsidRPr="006A6FF7">
        <w:t xml:space="preserve"> clause 6.1.2.4 of TS 23.</w:t>
      </w:r>
      <w:r w:rsidR="0018478B" w:rsidRPr="006A6FF7">
        <w:t>503</w:t>
      </w:r>
      <w:r>
        <w:t xml:space="preserve"> also specifies:</w:t>
      </w:r>
      <w:r w:rsidR="00C102BE" w:rsidRPr="006A6FF7">
        <w:t xml:space="preserve"> </w:t>
      </w:r>
      <w:r>
        <w:t>"</w:t>
      </w:r>
      <w:r w:rsidR="005061AE" w:rsidRPr="00395DE0">
        <w:rPr>
          <w:i/>
        </w:rPr>
        <w:t xml:space="preserve">a background transfer policy consists of a recommended time window for the background data transfer, a reference to a charging rate for this time window, </w:t>
      </w:r>
      <w:r w:rsidR="005061AE" w:rsidRPr="00F25227">
        <w:rPr>
          <w:i/>
          <w:highlight w:val="yellow"/>
        </w:rPr>
        <w:t>network area information</w:t>
      </w:r>
      <w:r w:rsidR="005061AE" w:rsidRPr="00395DE0">
        <w:rPr>
          <w:b/>
          <w:i/>
        </w:rPr>
        <w:t xml:space="preserve"> </w:t>
      </w:r>
      <w:r w:rsidR="005061AE" w:rsidRPr="00395DE0">
        <w:rPr>
          <w:i/>
        </w:rPr>
        <w:t>and optionally a maximum aggregated bitrate (indicating that the charging according to the referenced charging rate is only applicable for the aggregated traffic of all involved UEs that stays below this value)</w:t>
      </w:r>
      <w:r>
        <w:rPr>
          <w:iCs/>
        </w:rPr>
        <w:t>"</w:t>
      </w:r>
      <w:r w:rsidR="005061AE" w:rsidRPr="006A6FF7">
        <w:t>.</w:t>
      </w:r>
    </w:p>
    <w:p w14:paraId="78911E08" w14:textId="74AB1449" w:rsidR="002A46DD" w:rsidRDefault="0049502F" w:rsidP="002A46DD">
      <w:r>
        <w:t>This requirement is aligned with c</w:t>
      </w:r>
      <w:r w:rsidR="002A46DD">
        <w:t xml:space="preserve">lause </w:t>
      </w:r>
      <w:r w:rsidR="002A46DD" w:rsidRPr="00140E21">
        <w:rPr>
          <w:lang w:eastAsia="zh-CN"/>
        </w:rPr>
        <w:t>4.16.7.1</w:t>
      </w:r>
      <w:r w:rsidR="002A46DD">
        <w:rPr>
          <w:lang w:eastAsia="zh-CN"/>
        </w:rPr>
        <w:t xml:space="preserve"> of</w:t>
      </w:r>
      <w:r w:rsidR="002A46DD">
        <w:t xml:space="preserve"> TS 23.502 </w:t>
      </w:r>
      <w:r w:rsidR="00045EF6">
        <w:t xml:space="preserve">which </w:t>
      </w:r>
      <w:r w:rsidR="002A46DD">
        <w:t>specifies:</w:t>
      </w:r>
      <w:r>
        <w:t xml:space="preserve"> </w:t>
      </w:r>
      <w:r w:rsidR="002A46DD">
        <w:t>"</w:t>
      </w:r>
      <w:r w:rsidR="002A46DD" w:rsidRPr="00A041CB">
        <w:rPr>
          <w:i/>
          <w:iCs/>
        </w:rPr>
        <w:t xml:space="preserve">The transfer policies consist of a desired time window for the background data transfer, a reference to a charging rate for the time window, </w:t>
      </w:r>
      <w:r w:rsidR="002A46DD" w:rsidRPr="00674F62">
        <w:rPr>
          <w:i/>
          <w:iCs/>
          <w:highlight w:val="yellow"/>
        </w:rPr>
        <w:t>network area information</w:t>
      </w:r>
      <w:r w:rsidR="002A46DD" w:rsidRPr="00A041CB">
        <w:rPr>
          <w:i/>
          <w:iCs/>
        </w:rPr>
        <w:t>, and optionally a maximum aggregated bitrate, as described in clause 6.1.2.4 of TS 23.503 [20].</w:t>
      </w:r>
      <w:r w:rsidR="002A46DD">
        <w:t>"</w:t>
      </w:r>
    </w:p>
    <w:p w14:paraId="57886D25" w14:textId="4548E351" w:rsidR="00827F5E" w:rsidRDefault="00D41CBA" w:rsidP="00FD738C">
      <w:r>
        <w:t>Moreover, a</w:t>
      </w:r>
      <w:r w:rsidR="00827F5E" w:rsidRPr="006A6FF7">
        <w:t xml:space="preserve">lso as defined in </w:t>
      </w:r>
      <w:r w:rsidRPr="006A6FF7">
        <w:t>clause 6.1.2.4 of TS 23.503</w:t>
      </w:r>
      <w:r>
        <w:t>,</w:t>
      </w:r>
      <w:r w:rsidRPr="00D032FA">
        <w:rPr>
          <w:i/>
        </w:rPr>
        <w:t xml:space="preserve"> </w:t>
      </w:r>
      <w:r w:rsidR="006F363A" w:rsidRPr="00D032FA">
        <w:rPr>
          <w:i/>
        </w:rPr>
        <w:t>the PCF shall determine, based on t</w:t>
      </w:r>
      <w:r w:rsidR="006F363A" w:rsidRPr="00CE1293">
        <w:rPr>
          <w:i/>
        </w:rPr>
        <w:t>he information provided by the AF, the analytics on "Network Performance" if available and other available information (e.g. network policy and existing background transfer policies) one or more background transfer policies.</w:t>
      </w:r>
      <w:r w:rsidR="00984F28">
        <w:t xml:space="preserve"> The "Network Performance" analytics </w:t>
      </w:r>
      <w:r w:rsidR="00A33ECF">
        <w:t xml:space="preserve">provided by NWDAF </w:t>
      </w:r>
      <w:r w:rsidR="00984F28">
        <w:t>as defined in clause 6.6.3 of TS 23.288 also include an area subset</w:t>
      </w:r>
      <w:r w:rsidR="00D758C7">
        <w:t xml:space="preserve"> within the requested area</w:t>
      </w:r>
      <w:r w:rsidR="00984F28">
        <w:t>:</w:t>
      </w:r>
    </w:p>
    <w:p w14:paraId="53212B6B" w14:textId="77777777" w:rsidR="00D217F8" w:rsidRPr="00BE0A75" w:rsidRDefault="00D217F8" w:rsidP="00D217F8">
      <w:pPr>
        <w:pStyle w:val="TH"/>
        <w:rPr>
          <w:i/>
          <w:iCs/>
          <w:lang w:eastAsia="zh-CN"/>
        </w:rPr>
      </w:pPr>
      <w:r w:rsidRPr="00BE0A75">
        <w:rPr>
          <w:i/>
          <w:iCs/>
        </w:rPr>
        <w:lastRenderedPageBreak/>
        <w:t>Table</w:t>
      </w:r>
      <w:r w:rsidRPr="00BE0A75">
        <w:rPr>
          <w:rFonts w:hint="eastAsia"/>
          <w:i/>
          <w:iCs/>
          <w:lang w:eastAsia="zh-CN"/>
        </w:rPr>
        <w:t xml:space="preserve"> </w:t>
      </w:r>
      <w:r w:rsidRPr="00BE0A75">
        <w:rPr>
          <w:i/>
          <w:iCs/>
          <w:lang w:eastAsia="zh-CN"/>
        </w:rPr>
        <w:t>6.6.</w:t>
      </w:r>
      <w:r w:rsidRPr="00BE0A75">
        <w:rPr>
          <w:rFonts w:hint="eastAsia"/>
          <w:i/>
          <w:iCs/>
          <w:lang w:eastAsia="zh-CN"/>
        </w:rPr>
        <w:t>3</w:t>
      </w:r>
      <w:r w:rsidRPr="00BE0A75">
        <w:rPr>
          <w:i/>
          <w:iCs/>
          <w:lang w:eastAsia="zh-CN"/>
        </w:rPr>
        <w:t>-2</w:t>
      </w:r>
      <w:r w:rsidRPr="00BE0A75">
        <w:rPr>
          <w:i/>
          <w:iCs/>
        </w:rPr>
        <w:t xml:space="preserve">: </w:t>
      </w:r>
      <w:r w:rsidRPr="00BE0A75">
        <w:rPr>
          <w:i/>
          <w:iCs/>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D217F8" w:rsidRPr="00AC3C0F" w14:paraId="4BBB4508" w14:textId="77777777" w:rsidTr="00FB662D">
        <w:trPr>
          <w:jc w:val="center"/>
        </w:trPr>
        <w:tc>
          <w:tcPr>
            <w:tcW w:w="3544" w:type="dxa"/>
          </w:tcPr>
          <w:p w14:paraId="3A8B9617" w14:textId="77777777" w:rsidR="00D217F8" w:rsidRPr="00AC3C0F" w:rsidRDefault="00D217F8" w:rsidP="00FB662D">
            <w:pPr>
              <w:pStyle w:val="TAH"/>
            </w:pPr>
            <w:r w:rsidRPr="00AC3C0F">
              <w:t>Information</w:t>
            </w:r>
          </w:p>
        </w:tc>
        <w:tc>
          <w:tcPr>
            <w:tcW w:w="5645" w:type="dxa"/>
          </w:tcPr>
          <w:p w14:paraId="1809D19D" w14:textId="77777777" w:rsidR="00D217F8" w:rsidRPr="00AC3C0F" w:rsidRDefault="00D217F8" w:rsidP="00FB662D">
            <w:pPr>
              <w:pStyle w:val="TAH"/>
            </w:pPr>
            <w:r w:rsidRPr="00AC3C0F">
              <w:t>Description</w:t>
            </w:r>
          </w:p>
        </w:tc>
      </w:tr>
      <w:tr w:rsidR="00D217F8" w:rsidRPr="00AC3C0F" w14:paraId="501FC90C" w14:textId="77777777" w:rsidTr="00FB662D">
        <w:trPr>
          <w:jc w:val="center"/>
        </w:trPr>
        <w:tc>
          <w:tcPr>
            <w:tcW w:w="3544" w:type="dxa"/>
          </w:tcPr>
          <w:p w14:paraId="6A542B4E" w14:textId="77777777" w:rsidR="00D217F8" w:rsidRPr="00AC3C0F" w:rsidRDefault="00D217F8" w:rsidP="00FB662D">
            <w:pPr>
              <w:pStyle w:val="TAL"/>
            </w:pPr>
            <w:r w:rsidRPr="00AC3C0F">
              <w:t>List of</w:t>
            </w:r>
            <w:r>
              <w:t xml:space="preserve"> network</w:t>
            </w:r>
            <w:r w:rsidRPr="00AC3C0F">
              <w:t xml:space="preserve"> performance information (1..max)</w:t>
            </w:r>
          </w:p>
        </w:tc>
        <w:tc>
          <w:tcPr>
            <w:tcW w:w="5645" w:type="dxa"/>
          </w:tcPr>
          <w:p w14:paraId="3A0E42A7" w14:textId="77777777" w:rsidR="00D217F8" w:rsidRPr="00AC3C0F" w:rsidRDefault="00D217F8" w:rsidP="00FB662D">
            <w:pPr>
              <w:pStyle w:val="TAL"/>
            </w:pPr>
            <w:r w:rsidRPr="00AC3C0F">
              <w:t xml:space="preserve">Predicted analytics during the </w:t>
            </w:r>
            <w:r>
              <w:t xml:space="preserve">Analytics target </w:t>
            </w:r>
            <w:r w:rsidRPr="00AC3C0F">
              <w:t>period</w:t>
            </w:r>
          </w:p>
        </w:tc>
      </w:tr>
      <w:tr w:rsidR="00D217F8" w:rsidRPr="00AC3C0F" w14:paraId="7A3310E4" w14:textId="77777777" w:rsidTr="00E627BA">
        <w:trPr>
          <w:jc w:val="center"/>
        </w:trPr>
        <w:tc>
          <w:tcPr>
            <w:tcW w:w="3544" w:type="dxa"/>
            <w:shd w:val="clear" w:color="auto" w:fill="FFFF00"/>
          </w:tcPr>
          <w:p w14:paraId="6E70BD07" w14:textId="77777777" w:rsidR="00D217F8" w:rsidRPr="00AC3C0F" w:rsidRDefault="00D217F8" w:rsidP="00FB662D">
            <w:pPr>
              <w:pStyle w:val="TAL"/>
            </w:pPr>
            <w:r w:rsidRPr="00AC3C0F">
              <w:t>&gt; Area subset</w:t>
            </w:r>
          </w:p>
        </w:tc>
        <w:tc>
          <w:tcPr>
            <w:tcW w:w="5645" w:type="dxa"/>
            <w:shd w:val="clear" w:color="auto" w:fill="auto"/>
          </w:tcPr>
          <w:p w14:paraId="7610B66B" w14:textId="77777777" w:rsidR="00D217F8" w:rsidRPr="00AC3C0F" w:rsidRDefault="00D217F8" w:rsidP="00FB662D">
            <w:pPr>
              <w:pStyle w:val="TAL"/>
            </w:pPr>
            <w:r w:rsidRPr="00AC3C0F">
              <w:t>T</w:t>
            </w:r>
            <w:bookmarkStart w:id="7" w:name="_GoBack"/>
            <w:bookmarkEnd w:id="7"/>
            <w:r w:rsidRPr="00AC3C0F">
              <w:t>A or Cell ID within the requested area</w:t>
            </w:r>
            <w:r>
              <w:t xml:space="preserve"> of interest as defined in clause 6.6.1</w:t>
            </w:r>
          </w:p>
        </w:tc>
      </w:tr>
      <w:tr w:rsidR="00D217F8" w:rsidRPr="00AC3C0F" w14:paraId="666964B6" w14:textId="77777777" w:rsidTr="00FB662D">
        <w:trPr>
          <w:jc w:val="center"/>
        </w:trPr>
        <w:tc>
          <w:tcPr>
            <w:tcW w:w="3544" w:type="dxa"/>
          </w:tcPr>
          <w:p w14:paraId="141BFBEF" w14:textId="77777777" w:rsidR="00D217F8" w:rsidRPr="00AC3C0F" w:rsidRDefault="00D217F8" w:rsidP="00FB662D">
            <w:pPr>
              <w:pStyle w:val="TAL"/>
            </w:pPr>
            <w:r>
              <w:t>&gt; gNB status information</w:t>
            </w:r>
          </w:p>
        </w:tc>
        <w:tc>
          <w:tcPr>
            <w:tcW w:w="5645" w:type="dxa"/>
          </w:tcPr>
          <w:p w14:paraId="109CB21B" w14:textId="77777777" w:rsidR="00D217F8" w:rsidRPr="00AC3C0F" w:rsidRDefault="00D217F8" w:rsidP="00FB662D">
            <w:pPr>
              <w:pStyle w:val="TAL"/>
            </w:pPr>
            <w:r>
              <w:t>Ratio of gNBs that will be up and running during the entire Analytics target period in the area subset</w:t>
            </w:r>
          </w:p>
        </w:tc>
      </w:tr>
      <w:tr w:rsidR="00D217F8" w:rsidRPr="00AC3C0F" w14:paraId="1A7935A9" w14:textId="77777777" w:rsidTr="00FB662D">
        <w:trPr>
          <w:jc w:val="center"/>
        </w:trPr>
        <w:tc>
          <w:tcPr>
            <w:tcW w:w="3544" w:type="dxa"/>
          </w:tcPr>
          <w:p w14:paraId="74498F14" w14:textId="77777777" w:rsidR="00D217F8" w:rsidRPr="00AC3C0F" w:rsidRDefault="00D217F8" w:rsidP="00FB662D">
            <w:pPr>
              <w:pStyle w:val="TAL"/>
            </w:pPr>
            <w:r w:rsidRPr="00AC3C0F">
              <w:t>&gt; gNB resource usage</w:t>
            </w:r>
          </w:p>
        </w:tc>
        <w:tc>
          <w:tcPr>
            <w:tcW w:w="5645" w:type="dxa"/>
          </w:tcPr>
          <w:p w14:paraId="4502E0DC" w14:textId="77777777" w:rsidR="00D217F8" w:rsidRPr="00AC3C0F" w:rsidRDefault="00D217F8" w:rsidP="00FB662D">
            <w:pPr>
              <w:pStyle w:val="TAL"/>
            </w:pPr>
            <w:r w:rsidRPr="00AC3C0F">
              <w:t>Usage of assigned resources (CPU, memory, disk) (average, peak)</w:t>
            </w:r>
          </w:p>
        </w:tc>
      </w:tr>
      <w:tr w:rsidR="00D217F8" w:rsidRPr="00AC3C0F" w14:paraId="5CA4D6F3" w14:textId="77777777" w:rsidTr="00FB662D">
        <w:trPr>
          <w:jc w:val="center"/>
        </w:trPr>
        <w:tc>
          <w:tcPr>
            <w:tcW w:w="3544" w:type="dxa"/>
          </w:tcPr>
          <w:p w14:paraId="370C50CA" w14:textId="77777777" w:rsidR="00D217F8" w:rsidRPr="00AC3C0F" w:rsidRDefault="00D217F8" w:rsidP="00FB662D">
            <w:pPr>
              <w:pStyle w:val="TAL"/>
            </w:pPr>
            <w:r w:rsidRPr="00AC3C0F">
              <w:t>&gt; Number of UEs</w:t>
            </w:r>
          </w:p>
        </w:tc>
        <w:tc>
          <w:tcPr>
            <w:tcW w:w="5645" w:type="dxa"/>
          </w:tcPr>
          <w:p w14:paraId="6E84184B" w14:textId="77777777" w:rsidR="00D217F8" w:rsidRPr="00AC3C0F" w:rsidRDefault="00D217F8" w:rsidP="00FB662D">
            <w:pPr>
              <w:pStyle w:val="TAL"/>
            </w:pPr>
            <w:r w:rsidRPr="00AC3C0F">
              <w:t>Number of UEs predicted in the area</w:t>
            </w:r>
            <w:r>
              <w:t xml:space="preserve"> subset</w:t>
            </w:r>
          </w:p>
        </w:tc>
      </w:tr>
      <w:tr w:rsidR="00D217F8" w:rsidRPr="00AC3C0F" w14:paraId="789D5C51" w14:textId="77777777" w:rsidTr="00FB662D">
        <w:trPr>
          <w:jc w:val="center"/>
        </w:trPr>
        <w:tc>
          <w:tcPr>
            <w:tcW w:w="3544" w:type="dxa"/>
          </w:tcPr>
          <w:p w14:paraId="3AD72316" w14:textId="77777777" w:rsidR="00D217F8" w:rsidRPr="00AC3C0F" w:rsidRDefault="00D217F8" w:rsidP="00FB662D">
            <w:pPr>
              <w:pStyle w:val="TAL"/>
            </w:pPr>
            <w:r w:rsidRPr="00AC3C0F">
              <w:t>&gt; Communication performance</w:t>
            </w:r>
          </w:p>
        </w:tc>
        <w:tc>
          <w:tcPr>
            <w:tcW w:w="5645" w:type="dxa"/>
          </w:tcPr>
          <w:p w14:paraId="6A69D1AA" w14:textId="77777777" w:rsidR="00D217F8" w:rsidRPr="00AC3C0F" w:rsidRDefault="00D217F8" w:rsidP="00FB662D">
            <w:pPr>
              <w:pStyle w:val="TAL"/>
            </w:pPr>
            <w:r w:rsidRPr="00AC3C0F">
              <w:t>Ratio of successful setup of PDU Sessions</w:t>
            </w:r>
          </w:p>
        </w:tc>
      </w:tr>
      <w:tr w:rsidR="00D217F8" w:rsidRPr="00AC3C0F" w14:paraId="3A1DF19D" w14:textId="77777777" w:rsidTr="00FB662D">
        <w:trPr>
          <w:trHeight w:val="64"/>
          <w:jc w:val="center"/>
        </w:trPr>
        <w:tc>
          <w:tcPr>
            <w:tcW w:w="3544" w:type="dxa"/>
          </w:tcPr>
          <w:p w14:paraId="47EB8F67" w14:textId="77777777" w:rsidR="00D217F8" w:rsidRPr="00AC3C0F" w:rsidRDefault="00D217F8" w:rsidP="00FB662D">
            <w:pPr>
              <w:pStyle w:val="TAL"/>
            </w:pPr>
            <w:r w:rsidRPr="00AC3C0F">
              <w:t>&gt; Mobility performance</w:t>
            </w:r>
          </w:p>
        </w:tc>
        <w:tc>
          <w:tcPr>
            <w:tcW w:w="5645" w:type="dxa"/>
          </w:tcPr>
          <w:p w14:paraId="32E9458D" w14:textId="77777777" w:rsidR="00D217F8" w:rsidRPr="00AC3C0F" w:rsidRDefault="00D217F8" w:rsidP="00FB662D">
            <w:pPr>
              <w:pStyle w:val="TAL"/>
            </w:pPr>
            <w:r w:rsidRPr="00AC3C0F">
              <w:t>Ratio of successful handover</w:t>
            </w:r>
          </w:p>
        </w:tc>
      </w:tr>
      <w:tr w:rsidR="00D217F8" w:rsidRPr="00AC3C0F" w14:paraId="17256057" w14:textId="77777777" w:rsidTr="00FB662D">
        <w:trPr>
          <w:trHeight w:val="64"/>
          <w:jc w:val="center"/>
        </w:trPr>
        <w:tc>
          <w:tcPr>
            <w:tcW w:w="3544" w:type="dxa"/>
          </w:tcPr>
          <w:p w14:paraId="29CAE123" w14:textId="77777777" w:rsidR="00D217F8" w:rsidRPr="00AC3C0F" w:rsidRDefault="00D217F8" w:rsidP="00FB662D">
            <w:pPr>
              <w:pStyle w:val="TAL"/>
            </w:pPr>
            <w:r w:rsidRPr="00AC3C0F">
              <w:t>&gt; Confidence</w:t>
            </w:r>
          </w:p>
        </w:tc>
        <w:tc>
          <w:tcPr>
            <w:tcW w:w="5645" w:type="dxa"/>
          </w:tcPr>
          <w:p w14:paraId="672BD208" w14:textId="77777777" w:rsidR="00D217F8" w:rsidRPr="00AC3C0F" w:rsidRDefault="00D217F8" w:rsidP="00FB662D">
            <w:pPr>
              <w:pStyle w:val="TAL"/>
            </w:pPr>
            <w:r w:rsidRPr="00AC3C0F">
              <w:t>Confidence of this prediction</w:t>
            </w:r>
          </w:p>
        </w:tc>
      </w:tr>
    </w:tbl>
    <w:p w14:paraId="0FED9E82" w14:textId="77777777" w:rsidR="00D217F8" w:rsidRPr="00AC3C0F" w:rsidRDefault="00D217F8" w:rsidP="00D217F8">
      <w:pPr>
        <w:rPr>
          <w:lang w:val="en-US" w:eastAsia="ko-KR"/>
        </w:rPr>
      </w:pPr>
    </w:p>
    <w:p w14:paraId="326446F4" w14:textId="6E99E870" w:rsidR="00D52E17" w:rsidRPr="006A6FF7" w:rsidRDefault="00FD738C" w:rsidP="002A17D9">
      <w:r w:rsidRPr="006A6FF7">
        <w:t>CT3 asks SA</w:t>
      </w:r>
      <w:r w:rsidR="00F518DD" w:rsidRPr="006A6FF7">
        <w:t>2</w:t>
      </w:r>
      <w:r w:rsidRPr="006A6FF7">
        <w:t xml:space="preserve"> to clarify the following</w:t>
      </w:r>
      <w:r w:rsidR="00674F62">
        <w:t xml:space="preserve"> questions</w:t>
      </w:r>
      <w:r w:rsidRPr="006A6FF7">
        <w:t>:</w:t>
      </w:r>
    </w:p>
    <w:p w14:paraId="4D93CA28" w14:textId="3582C0C3" w:rsidR="00674F62" w:rsidRPr="00674F62" w:rsidRDefault="00674F62" w:rsidP="00674F62">
      <w:pPr>
        <w:pStyle w:val="B1"/>
        <w:ind w:left="719" w:hanging="435"/>
      </w:pPr>
      <w:r w:rsidRPr="00674F62">
        <w:t>Q1:</w:t>
      </w:r>
      <w:r w:rsidR="00BE0A75">
        <w:tab/>
      </w:r>
      <w:r w:rsidRPr="00674F62">
        <w:t>Is the network area information part of background data transfer policy or not?</w:t>
      </w:r>
    </w:p>
    <w:p w14:paraId="68729CAD" w14:textId="6035D420" w:rsidR="00674F62" w:rsidRDefault="00674F62" w:rsidP="00674F62">
      <w:pPr>
        <w:pStyle w:val="B1"/>
        <w:ind w:left="719" w:hanging="435"/>
      </w:pPr>
      <w:r w:rsidRPr="00674F62">
        <w:t>Q2:</w:t>
      </w:r>
      <w:r w:rsidR="00BE0A75">
        <w:tab/>
      </w:r>
      <w:r w:rsidRPr="00674F62">
        <w:t xml:space="preserve">If the answer of Q1 is yes, is the network area information in the AF request the same as the network area information in each background data transfer policy, as defined in clause 6.1.2.4 of TS 23.503? </w:t>
      </w:r>
    </w:p>
    <w:p w14:paraId="39BF47B5" w14:textId="3E93DCE6" w:rsidR="00674F62" w:rsidRDefault="00674F62" w:rsidP="00674F62">
      <w:pPr>
        <w:pStyle w:val="B1"/>
        <w:ind w:left="719" w:firstLine="0"/>
      </w:pPr>
      <w:r w:rsidRPr="00674F62">
        <w:t xml:space="preserve">During the BDT warning notification, do </w:t>
      </w:r>
      <w:r w:rsidR="00405CC9">
        <w:t xml:space="preserve">the list of </w:t>
      </w:r>
      <w:r w:rsidRPr="00674F62">
        <w:t>all candidate BDT policies</w:t>
      </w:r>
      <w:r w:rsidR="00BE0A75">
        <w:t xml:space="preserve"> </w:t>
      </w:r>
      <w:r w:rsidRPr="00674F62">
        <w:t>which are sent to the AF apply to the same network area information</w:t>
      </w:r>
      <w:r w:rsidR="008A7CF6">
        <w:t xml:space="preserve"> in the AF request</w:t>
      </w:r>
      <w:r w:rsidR="00DC43FB">
        <w:t>,</w:t>
      </w:r>
      <w:r w:rsidR="008A7CF6">
        <w:t xml:space="preserve"> a</w:t>
      </w:r>
      <w:r w:rsidR="008A7CF6">
        <w:t>s defined in clause 6.1.2.4 of TS 23.503</w:t>
      </w:r>
      <w:r w:rsidRPr="00674F62">
        <w:t xml:space="preserve">? </w:t>
      </w:r>
    </w:p>
    <w:p w14:paraId="772CF88D" w14:textId="77777777" w:rsidR="00551A22" w:rsidRDefault="007965F8">
      <w:pPr>
        <w:pStyle w:val="1"/>
      </w:pPr>
      <w:r>
        <w:t>2</w:t>
      </w:r>
      <w:r>
        <w:tab/>
        <w:t>Actions</w:t>
      </w:r>
    </w:p>
    <w:p w14:paraId="134823D9" w14:textId="77777777" w:rsidR="00551A22" w:rsidRDefault="007965F8">
      <w:pPr>
        <w:spacing w:after="120"/>
        <w:ind w:left="1985" w:hanging="1985"/>
        <w:rPr>
          <w:rFonts w:ascii="Arial" w:hAnsi="Arial" w:cs="Arial"/>
          <w:b/>
        </w:rPr>
      </w:pPr>
      <w:r>
        <w:rPr>
          <w:rFonts w:ascii="Arial" w:hAnsi="Arial" w:cs="Arial"/>
          <w:b/>
        </w:rPr>
        <w:t xml:space="preserve">To </w:t>
      </w:r>
      <w:r w:rsidR="001F20A0" w:rsidRPr="006C05D2">
        <w:rPr>
          <w:rFonts w:ascii="Arial" w:hAnsi="Arial" w:cs="Arial"/>
          <w:b/>
        </w:rPr>
        <w:t>SA WG</w:t>
      </w:r>
      <w:r w:rsidR="00B00483">
        <w:rPr>
          <w:rFonts w:ascii="Arial" w:hAnsi="Arial" w:cs="Arial"/>
          <w:b/>
        </w:rPr>
        <w:t>2</w:t>
      </w:r>
      <w:r w:rsidR="001F20A0" w:rsidRPr="006C05D2">
        <w:rPr>
          <w:rFonts w:ascii="Arial" w:hAnsi="Arial" w:cs="Arial"/>
          <w:b/>
        </w:rPr>
        <w:t xml:space="preserve"> group</w:t>
      </w:r>
      <w:r w:rsidR="001F20A0">
        <w:rPr>
          <w:rFonts w:ascii="Arial" w:hAnsi="Arial" w:cs="Arial"/>
          <w:b/>
        </w:rPr>
        <w:t>:</w:t>
      </w:r>
    </w:p>
    <w:p w14:paraId="51940197" w14:textId="77777777" w:rsidR="00551A22" w:rsidRPr="00BE0A75" w:rsidRDefault="007965F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791435" w:rsidRPr="00EE6B07">
        <w:rPr>
          <w:rFonts w:ascii="Arial" w:hAnsi="Arial" w:cs="Arial"/>
        </w:rPr>
        <w:t xml:space="preserve">CT3 </w:t>
      </w:r>
      <w:r w:rsidR="001F20A0">
        <w:rPr>
          <w:rFonts w:ascii="Arial" w:hAnsi="Arial" w:cs="Arial"/>
        </w:rPr>
        <w:t xml:space="preserve">kindly </w:t>
      </w:r>
      <w:r w:rsidR="00791435" w:rsidRPr="00EE6B07">
        <w:rPr>
          <w:rFonts w:ascii="Arial" w:hAnsi="Arial" w:cs="Arial"/>
        </w:rPr>
        <w:t>asks SA</w:t>
      </w:r>
      <w:r w:rsidR="00B00483">
        <w:rPr>
          <w:rFonts w:ascii="Arial" w:hAnsi="Arial" w:cs="Arial"/>
        </w:rPr>
        <w:t>2</w:t>
      </w:r>
      <w:r w:rsidR="00791435" w:rsidRPr="00EE6B07">
        <w:rPr>
          <w:rFonts w:ascii="Arial" w:hAnsi="Arial" w:cs="Arial"/>
        </w:rPr>
        <w:t xml:space="preserve"> to</w:t>
      </w:r>
      <w:r w:rsidR="00791435">
        <w:rPr>
          <w:rFonts w:ascii="Arial" w:hAnsi="Arial" w:cs="Arial"/>
        </w:rPr>
        <w:t xml:space="preserve"> answer </w:t>
      </w:r>
      <w:r w:rsidR="00791435" w:rsidRPr="00BE0A75">
        <w:rPr>
          <w:rFonts w:ascii="Arial" w:hAnsi="Arial" w:cs="Arial"/>
        </w:rPr>
        <w:t>above questions</w:t>
      </w:r>
      <w:r w:rsidR="00347EC1" w:rsidRPr="00BE0A75">
        <w:rPr>
          <w:rFonts w:ascii="Arial" w:hAnsi="Arial" w:cs="Arial"/>
        </w:rPr>
        <w:t xml:space="preserve"> and update their specifications if necessary</w:t>
      </w:r>
      <w:r w:rsidR="00791435" w:rsidRPr="00BE0A75">
        <w:rPr>
          <w:rFonts w:ascii="Arial" w:hAnsi="Arial" w:cs="Arial"/>
        </w:rPr>
        <w:t>.</w:t>
      </w:r>
    </w:p>
    <w:p w14:paraId="360DDBD1" w14:textId="77777777" w:rsidR="00551A22" w:rsidRPr="00BE0A75" w:rsidRDefault="00551A22">
      <w:pPr>
        <w:spacing w:after="120"/>
        <w:ind w:left="993" w:hanging="993"/>
        <w:rPr>
          <w:rFonts w:ascii="Arial" w:hAnsi="Arial" w:cs="Arial"/>
        </w:rPr>
      </w:pPr>
    </w:p>
    <w:p w14:paraId="4CB6B239" w14:textId="77777777" w:rsidR="00551A22" w:rsidRDefault="007965F8">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17E0119F" w14:textId="77777777" w:rsidR="00EA776F" w:rsidRDefault="00EA776F" w:rsidP="00EA776F">
      <w:pPr>
        <w:tabs>
          <w:tab w:val="left" w:pos="5103"/>
        </w:tabs>
        <w:spacing w:after="120"/>
        <w:ind w:left="2268" w:hanging="2268"/>
        <w:rPr>
          <w:rFonts w:ascii="Arial" w:hAnsi="Arial" w:cs="Arial"/>
          <w:bCs/>
        </w:rPr>
      </w:pPr>
      <w:r>
        <w:rPr>
          <w:rFonts w:ascii="Arial" w:hAnsi="Arial" w:cs="Arial"/>
          <w:bCs/>
        </w:rPr>
        <w:t>3GPP TSG CT3#110e</w:t>
      </w:r>
      <w:r>
        <w:rPr>
          <w:rFonts w:ascii="Arial" w:hAnsi="Arial" w:cs="Arial"/>
          <w:bCs/>
        </w:rPr>
        <w:tab/>
        <w:t>02</w:t>
      </w:r>
      <w:r>
        <w:rPr>
          <w:rFonts w:ascii="Arial" w:hAnsi="Arial" w:cs="Arial"/>
          <w:bCs/>
          <w:vertAlign w:val="superscript"/>
        </w:rPr>
        <w:t>nd</w:t>
      </w:r>
      <w:r>
        <w:rPr>
          <w:rFonts w:ascii="Arial" w:hAnsi="Arial" w:cs="Arial"/>
          <w:bCs/>
        </w:rPr>
        <w:t xml:space="preserve"> – 11</w:t>
      </w:r>
      <w:r>
        <w:rPr>
          <w:rFonts w:ascii="Arial" w:hAnsi="Arial" w:cs="Arial"/>
          <w:bCs/>
          <w:vertAlign w:val="superscript"/>
        </w:rPr>
        <w:t>th</w:t>
      </w:r>
      <w:r>
        <w:rPr>
          <w:rFonts w:ascii="Arial" w:hAnsi="Arial" w:cs="Arial"/>
          <w:bCs/>
        </w:rPr>
        <w:t xml:space="preserve"> June 2020</w:t>
      </w:r>
      <w:r>
        <w:rPr>
          <w:rFonts w:ascii="Arial" w:hAnsi="Arial" w:cs="Arial"/>
          <w:bCs/>
        </w:rPr>
        <w:tab/>
        <w:t>E-Meeting</w:t>
      </w:r>
    </w:p>
    <w:p w14:paraId="0A10BD3C" w14:textId="77777777" w:rsidR="00EA776F" w:rsidRDefault="00EA776F" w:rsidP="00EA776F">
      <w:pPr>
        <w:tabs>
          <w:tab w:val="left" w:pos="5103"/>
        </w:tabs>
        <w:spacing w:after="120"/>
        <w:ind w:left="2268" w:hanging="2268"/>
        <w:rPr>
          <w:rFonts w:ascii="Arial" w:hAnsi="Arial" w:cs="Arial"/>
          <w:bCs/>
        </w:rPr>
      </w:pPr>
      <w:r>
        <w:rPr>
          <w:rFonts w:ascii="Arial" w:hAnsi="Arial" w:cs="Arial"/>
          <w:bCs/>
        </w:rPr>
        <w:t>3GPP TSG CT3#111</w:t>
      </w:r>
      <w:r>
        <w:rPr>
          <w:rFonts w:ascii="Arial" w:hAnsi="Arial" w:cs="Arial"/>
          <w:bCs/>
        </w:rPr>
        <w:tab/>
        <w:t>24th – 29th August 2020</w:t>
      </w:r>
      <w:r>
        <w:rPr>
          <w:rFonts w:ascii="Arial" w:hAnsi="Arial" w:cs="Arial"/>
          <w:bCs/>
        </w:rPr>
        <w:tab/>
        <w:t>US, US</w:t>
      </w:r>
    </w:p>
    <w:p w14:paraId="3F384A50" w14:textId="77777777" w:rsidR="00551A22" w:rsidRPr="00EA776F" w:rsidRDefault="00551A22"/>
    <w:sectPr w:rsidR="00551A22" w:rsidRPr="00EA776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36AA1" w14:textId="77777777" w:rsidR="00AD0020" w:rsidRDefault="00AD0020">
      <w:pPr>
        <w:spacing w:after="0"/>
      </w:pPr>
      <w:r>
        <w:separator/>
      </w:r>
    </w:p>
  </w:endnote>
  <w:endnote w:type="continuationSeparator" w:id="0">
    <w:p w14:paraId="013AB677" w14:textId="77777777" w:rsidR="00AD0020" w:rsidRDefault="00AD00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94DBF" w14:textId="77777777" w:rsidR="00AD0020" w:rsidRDefault="00AD0020">
      <w:pPr>
        <w:spacing w:after="0"/>
      </w:pPr>
      <w:r>
        <w:separator/>
      </w:r>
    </w:p>
  </w:footnote>
  <w:footnote w:type="continuationSeparator" w:id="0">
    <w:p w14:paraId="72DE027B" w14:textId="77777777" w:rsidR="00AD0020" w:rsidRDefault="00AD002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22BB4"/>
    <w:multiLevelType w:val="hybridMultilevel"/>
    <w:tmpl w:val="34980CF4"/>
    <w:lvl w:ilvl="0" w:tplc="2726271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A22"/>
    <w:rsid w:val="00041362"/>
    <w:rsid w:val="00045EF6"/>
    <w:rsid w:val="00090158"/>
    <w:rsid w:val="000A14BA"/>
    <w:rsid w:val="000C14F9"/>
    <w:rsid w:val="000C5D7E"/>
    <w:rsid w:val="00113C12"/>
    <w:rsid w:val="001523D8"/>
    <w:rsid w:val="00152670"/>
    <w:rsid w:val="0017178E"/>
    <w:rsid w:val="00182350"/>
    <w:rsid w:val="0018478B"/>
    <w:rsid w:val="001B3BC9"/>
    <w:rsid w:val="001B7FEB"/>
    <w:rsid w:val="001D6BCE"/>
    <w:rsid w:val="001F20A0"/>
    <w:rsid w:val="002050CA"/>
    <w:rsid w:val="00211581"/>
    <w:rsid w:val="00241312"/>
    <w:rsid w:val="002917C4"/>
    <w:rsid w:val="002A17D9"/>
    <w:rsid w:val="002A46DD"/>
    <w:rsid w:val="002B6660"/>
    <w:rsid w:val="002C0E9D"/>
    <w:rsid w:val="002C406C"/>
    <w:rsid w:val="002D2A60"/>
    <w:rsid w:val="002E23E8"/>
    <w:rsid w:val="002F3751"/>
    <w:rsid w:val="00336C57"/>
    <w:rsid w:val="00337387"/>
    <w:rsid w:val="00340D19"/>
    <w:rsid w:val="00347EC1"/>
    <w:rsid w:val="00351681"/>
    <w:rsid w:val="00353D3E"/>
    <w:rsid w:val="0036408B"/>
    <w:rsid w:val="00395DE0"/>
    <w:rsid w:val="003C28A3"/>
    <w:rsid w:val="003F15B0"/>
    <w:rsid w:val="003F3E18"/>
    <w:rsid w:val="003F574B"/>
    <w:rsid w:val="0040556C"/>
    <w:rsid w:val="00405CC9"/>
    <w:rsid w:val="00411803"/>
    <w:rsid w:val="00420B28"/>
    <w:rsid w:val="00465CC6"/>
    <w:rsid w:val="00471E5B"/>
    <w:rsid w:val="00480380"/>
    <w:rsid w:val="004824F0"/>
    <w:rsid w:val="0048772B"/>
    <w:rsid w:val="0049502F"/>
    <w:rsid w:val="004D6074"/>
    <w:rsid w:val="005061AE"/>
    <w:rsid w:val="005146DB"/>
    <w:rsid w:val="005246F0"/>
    <w:rsid w:val="0053741B"/>
    <w:rsid w:val="00537457"/>
    <w:rsid w:val="0054394B"/>
    <w:rsid w:val="00551A22"/>
    <w:rsid w:val="005762C0"/>
    <w:rsid w:val="005805AF"/>
    <w:rsid w:val="00594CE3"/>
    <w:rsid w:val="005C1E44"/>
    <w:rsid w:val="005E19C7"/>
    <w:rsid w:val="006357D4"/>
    <w:rsid w:val="00674F62"/>
    <w:rsid w:val="00685F3D"/>
    <w:rsid w:val="006A6FF7"/>
    <w:rsid w:val="006B0523"/>
    <w:rsid w:val="006B1D69"/>
    <w:rsid w:val="006D30CE"/>
    <w:rsid w:val="006F363A"/>
    <w:rsid w:val="00712540"/>
    <w:rsid w:val="00712E0B"/>
    <w:rsid w:val="007351D2"/>
    <w:rsid w:val="00737049"/>
    <w:rsid w:val="007371F3"/>
    <w:rsid w:val="007440F8"/>
    <w:rsid w:val="007715E3"/>
    <w:rsid w:val="00791435"/>
    <w:rsid w:val="007965F8"/>
    <w:rsid w:val="00797D1D"/>
    <w:rsid w:val="007A22B2"/>
    <w:rsid w:val="007B12DD"/>
    <w:rsid w:val="007F3365"/>
    <w:rsid w:val="007F5C98"/>
    <w:rsid w:val="00804C22"/>
    <w:rsid w:val="008064E9"/>
    <w:rsid w:val="00827F5E"/>
    <w:rsid w:val="00835194"/>
    <w:rsid w:val="00862F98"/>
    <w:rsid w:val="00871B0E"/>
    <w:rsid w:val="008A7CF6"/>
    <w:rsid w:val="008F7E79"/>
    <w:rsid w:val="00900212"/>
    <w:rsid w:val="00923CED"/>
    <w:rsid w:val="009400DF"/>
    <w:rsid w:val="009406F1"/>
    <w:rsid w:val="00944C39"/>
    <w:rsid w:val="00964AA2"/>
    <w:rsid w:val="00973B1D"/>
    <w:rsid w:val="00984F28"/>
    <w:rsid w:val="009B69BD"/>
    <w:rsid w:val="009E7E93"/>
    <w:rsid w:val="00A2177A"/>
    <w:rsid w:val="00A33ECF"/>
    <w:rsid w:val="00A47E24"/>
    <w:rsid w:val="00AC2D07"/>
    <w:rsid w:val="00AD0020"/>
    <w:rsid w:val="00B00483"/>
    <w:rsid w:val="00B15F00"/>
    <w:rsid w:val="00B16D2C"/>
    <w:rsid w:val="00B62EB9"/>
    <w:rsid w:val="00BB3450"/>
    <w:rsid w:val="00BE0A75"/>
    <w:rsid w:val="00C03449"/>
    <w:rsid w:val="00C0448B"/>
    <w:rsid w:val="00C102BE"/>
    <w:rsid w:val="00C46BD8"/>
    <w:rsid w:val="00C636FA"/>
    <w:rsid w:val="00C7330F"/>
    <w:rsid w:val="00CA6B3C"/>
    <w:rsid w:val="00CC0A57"/>
    <w:rsid w:val="00CE08C8"/>
    <w:rsid w:val="00CE1293"/>
    <w:rsid w:val="00D0328A"/>
    <w:rsid w:val="00D032FA"/>
    <w:rsid w:val="00D06CC3"/>
    <w:rsid w:val="00D217F8"/>
    <w:rsid w:val="00D313FE"/>
    <w:rsid w:val="00D33C3D"/>
    <w:rsid w:val="00D41CBA"/>
    <w:rsid w:val="00D42518"/>
    <w:rsid w:val="00D471E0"/>
    <w:rsid w:val="00D52E17"/>
    <w:rsid w:val="00D61C17"/>
    <w:rsid w:val="00D758C7"/>
    <w:rsid w:val="00D97B27"/>
    <w:rsid w:val="00DA2A46"/>
    <w:rsid w:val="00DB257F"/>
    <w:rsid w:val="00DC43FB"/>
    <w:rsid w:val="00DC6D4B"/>
    <w:rsid w:val="00E0431A"/>
    <w:rsid w:val="00E1054F"/>
    <w:rsid w:val="00E15DAE"/>
    <w:rsid w:val="00E23B82"/>
    <w:rsid w:val="00E26A6B"/>
    <w:rsid w:val="00E30752"/>
    <w:rsid w:val="00E627BA"/>
    <w:rsid w:val="00E66D98"/>
    <w:rsid w:val="00E97E46"/>
    <w:rsid w:val="00EA1837"/>
    <w:rsid w:val="00EA6A3B"/>
    <w:rsid w:val="00EA776F"/>
    <w:rsid w:val="00EB61AD"/>
    <w:rsid w:val="00EC5C69"/>
    <w:rsid w:val="00ED0769"/>
    <w:rsid w:val="00ED4116"/>
    <w:rsid w:val="00ED6176"/>
    <w:rsid w:val="00EE7133"/>
    <w:rsid w:val="00F25227"/>
    <w:rsid w:val="00F518DD"/>
    <w:rsid w:val="00F70F0A"/>
    <w:rsid w:val="00FC608F"/>
    <w:rsid w:val="00FD738C"/>
    <w:rsid w:val="00FE1D8A"/>
    <w:rsid w:val="00FE7C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0C8E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0A75"/>
    <w:pPr>
      <w:overflowPunct w:val="0"/>
      <w:autoSpaceDE w:val="0"/>
      <w:autoSpaceDN w:val="0"/>
      <w:adjustRightInd w:val="0"/>
      <w:spacing w:after="180"/>
      <w:textAlignment w:val="baseline"/>
    </w:pPr>
    <w:rPr>
      <w:rFonts w:eastAsia="Times New Roman"/>
      <w:lang w:eastAsia="en-US"/>
    </w:rPr>
  </w:style>
  <w:style w:type="paragraph" w:styleId="1">
    <w:name w:val="heading 1"/>
    <w:aliases w:val="H1,h1"/>
    <w:next w:val="a"/>
    <w:qFormat/>
    <w:rsid w:val="00BE0A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2,h2"/>
    <w:basedOn w:val="1"/>
    <w:next w:val="a"/>
    <w:qFormat/>
    <w:rsid w:val="00BE0A75"/>
    <w:pPr>
      <w:pBdr>
        <w:top w:val="none" w:sz="0" w:space="0" w:color="auto"/>
      </w:pBdr>
      <w:spacing w:before="180"/>
      <w:outlineLvl w:val="1"/>
    </w:pPr>
    <w:rPr>
      <w:sz w:val="32"/>
    </w:rPr>
  </w:style>
  <w:style w:type="paragraph" w:styleId="3">
    <w:name w:val="heading 3"/>
    <w:aliases w:val="H3,h3"/>
    <w:basedOn w:val="2"/>
    <w:next w:val="a"/>
    <w:qFormat/>
    <w:rsid w:val="00BE0A75"/>
    <w:pPr>
      <w:spacing w:before="120"/>
      <w:outlineLvl w:val="2"/>
    </w:pPr>
    <w:rPr>
      <w:sz w:val="28"/>
    </w:rPr>
  </w:style>
  <w:style w:type="paragraph" w:styleId="4">
    <w:name w:val="heading 4"/>
    <w:aliases w:val="h4"/>
    <w:basedOn w:val="3"/>
    <w:next w:val="a"/>
    <w:qFormat/>
    <w:rsid w:val="00BE0A75"/>
    <w:pPr>
      <w:ind w:left="1418" w:hanging="1418"/>
      <w:outlineLvl w:val="3"/>
    </w:pPr>
    <w:rPr>
      <w:sz w:val="24"/>
    </w:rPr>
  </w:style>
  <w:style w:type="paragraph" w:styleId="5">
    <w:name w:val="heading 5"/>
    <w:aliases w:val="h5"/>
    <w:basedOn w:val="4"/>
    <w:next w:val="a"/>
    <w:qFormat/>
    <w:rsid w:val="00BE0A75"/>
    <w:pPr>
      <w:ind w:left="1701" w:hanging="1701"/>
      <w:outlineLvl w:val="4"/>
    </w:pPr>
    <w:rPr>
      <w:sz w:val="22"/>
    </w:rPr>
  </w:style>
  <w:style w:type="paragraph" w:styleId="6">
    <w:name w:val="heading 6"/>
    <w:aliases w:val="h6"/>
    <w:basedOn w:val="H6"/>
    <w:next w:val="a"/>
    <w:qFormat/>
    <w:rsid w:val="00BE0A75"/>
    <w:pPr>
      <w:outlineLvl w:val="5"/>
    </w:pPr>
  </w:style>
  <w:style w:type="paragraph" w:styleId="7">
    <w:name w:val="heading 7"/>
    <w:basedOn w:val="H6"/>
    <w:next w:val="a"/>
    <w:qFormat/>
    <w:rsid w:val="00BE0A75"/>
    <w:pPr>
      <w:outlineLvl w:val="6"/>
    </w:pPr>
  </w:style>
  <w:style w:type="paragraph" w:styleId="8">
    <w:name w:val="heading 8"/>
    <w:basedOn w:val="1"/>
    <w:next w:val="a"/>
    <w:qFormat/>
    <w:rsid w:val="00BE0A75"/>
    <w:pPr>
      <w:ind w:left="0" w:firstLine="0"/>
      <w:outlineLvl w:val="7"/>
    </w:pPr>
  </w:style>
  <w:style w:type="paragraph" w:styleId="9">
    <w:name w:val="heading 9"/>
    <w:basedOn w:val="8"/>
    <w:next w:val="a"/>
    <w:qFormat/>
    <w:rsid w:val="00BE0A7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BE0A75"/>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a4">
    <w:name w:val="footer"/>
    <w:basedOn w:val="a3"/>
    <w:semiHidden/>
    <w:rsid w:val="00BE0A75"/>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rsid w:val="00BE0A75"/>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Pr>
      <w:rFonts w:ascii="Tahoma" w:hAnsi="Tahoma" w:cs="Tahoma"/>
      <w:sz w:val="16"/>
      <w:szCs w:val="16"/>
    </w:rPr>
  </w:style>
  <w:style w:type="character" w:customStyle="1" w:styleId="Char1">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eastAsia="Times New Roman" w:hAnsi="Arial"/>
      <w:b/>
      <w:noProof/>
      <w:sz w:val="18"/>
      <w:lang w:val="en-US" w:eastAsia="en-US"/>
    </w:rPr>
  </w:style>
  <w:style w:type="paragraph" w:styleId="80">
    <w:name w:val="toc 8"/>
    <w:basedOn w:val="10"/>
    <w:semiHidden/>
    <w:rsid w:val="00BE0A75"/>
    <w:pPr>
      <w:spacing w:before="180"/>
      <w:ind w:left="2693" w:hanging="2693"/>
    </w:pPr>
    <w:rPr>
      <w:b/>
    </w:rPr>
  </w:style>
  <w:style w:type="paragraph" w:styleId="10">
    <w:name w:val="toc 1"/>
    <w:semiHidden/>
    <w:rsid w:val="00BE0A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BE0A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50">
    <w:name w:val="toc 5"/>
    <w:basedOn w:val="40"/>
    <w:semiHidden/>
    <w:rsid w:val="00BE0A75"/>
    <w:pPr>
      <w:ind w:left="1701" w:hanging="1701"/>
    </w:pPr>
  </w:style>
  <w:style w:type="paragraph" w:styleId="40">
    <w:name w:val="toc 4"/>
    <w:basedOn w:val="30"/>
    <w:semiHidden/>
    <w:rsid w:val="00BE0A75"/>
    <w:pPr>
      <w:ind w:left="1418" w:hanging="1418"/>
    </w:pPr>
  </w:style>
  <w:style w:type="paragraph" w:styleId="30">
    <w:name w:val="toc 3"/>
    <w:basedOn w:val="21"/>
    <w:semiHidden/>
    <w:rsid w:val="00BE0A75"/>
    <w:pPr>
      <w:ind w:left="1134" w:hanging="1134"/>
    </w:pPr>
  </w:style>
  <w:style w:type="paragraph" w:styleId="21">
    <w:name w:val="toc 2"/>
    <w:basedOn w:val="10"/>
    <w:semiHidden/>
    <w:rsid w:val="00BE0A75"/>
    <w:pPr>
      <w:keepNext w:val="0"/>
      <w:spacing w:before="0"/>
      <w:ind w:left="851" w:hanging="851"/>
    </w:pPr>
    <w:rPr>
      <w:sz w:val="20"/>
    </w:rPr>
  </w:style>
  <w:style w:type="paragraph" w:styleId="22">
    <w:name w:val="index 2"/>
    <w:basedOn w:val="11"/>
    <w:semiHidden/>
    <w:rsid w:val="00BE0A75"/>
    <w:pPr>
      <w:ind w:left="284"/>
    </w:pPr>
  </w:style>
  <w:style w:type="paragraph" w:styleId="11">
    <w:name w:val="index 1"/>
    <w:basedOn w:val="a"/>
    <w:semiHidden/>
    <w:rsid w:val="00BE0A75"/>
    <w:pPr>
      <w:keepLines/>
      <w:spacing w:after="0"/>
    </w:pPr>
  </w:style>
  <w:style w:type="paragraph" w:customStyle="1" w:styleId="ZH">
    <w:name w:val="ZH"/>
    <w:rsid w:val="00BE0A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1"/>
    <w:next w:val="a"/>
    <w:rsid w:val="00BE0A75"/>
    <w:pPr>
      <w:outlineLvl w:val="9"/>
    </w:pPr>
  </w:style>
  <w:style w:type="paragraph" w:styleId="23">
    <w:name w:val="List Number 2"/>
    <w:basedOn w:val="ac"/>
    <w:semiHidden/>
    <w:rsid w:val="00BE0A75"/>
    <w:pPr>
      <w:ind w:left="851"/>
    </w:pPr>
  </w:style>
  <w:style w:type="character" w:styleId="ad">
    <w:name w:val="footnote reference"/>
    <w:basedOn w:val="a0"/>
    <w:semiHidden/>
    <w:rsid w:val="00BE0A75"/>
    <w:rPr>
      <w:b/>
      <w:position w:val="6"/>
      <w:sz w:val="16"/>
    </w:rPr>
  </w:style>
  <w:style w:type="paragraph" w:styleId="ae">
    <w:name w:val="footnote text"/>
    <w:basedOn w:val="a"/>
    <w:link w:val="Char2"/>
    <w:semiHidden/>
    <w:rsid w:val="00BE0A75"/>
    <w:pPr>
      <w:keepLines/>
      <w:spacing w:after="0"/>
      <w:ind w:left="454" w:hanging="454"/>
    </w:pPr>
    <w:rPr>
      <w:sz w:val="16"/>
    </w:rPr>
  </w:style>
  <w:style w:type="character" w:customStyle="1" w:styleId="Char2">
    <w:name w:val="脚注文本 Char"/>
    <w:link w:val="ae"/>
    <w:semiHidden/>
    <w:rPr>
      <w:rFonts w:eastAsia="Times New Roman"/>
      <w:sz w:val="16"/>
      <w:lang w:eastAsia="en-US"/>
    </w:rPr>
  </w:style>
  <w:style w:type="paragraph" w:customStyle="1" w:styleId="TAH">
    <w:name w:val="TAH"/>
    <w:basedOn w:val="TAC"/>
    <w:link w:val="TAHCar"/>
    <w:rsid w:val="00BE0A75"/>
    <w:rPr>
      <w:b/>
    </w:rPr>
  </w:style>
  <w:style w:type="paragraph" w:customStyle="1" w:styleId="TAC">
    <w:name w:val="TAC"/>
    <w:basedOn w:val="TAL"/>
    <w:rsid w:val="00BE0A75"/>
    <w:pPr>
      <w:jc w:val="center"/>
    </w:pPr>
  </w:style>
  <w:style w:type="paragraph" w:customStyle="1" w:styleId="TF">
    <w:name w:val="TF"/>
    <w:basedOn w:val="TH"/>
    <w:rsid w:val="00BE0A75"/>
    <w:pPr>
      <w:keepNext w:val="0"/>
      <w:spacing w:before="0" w:after="240"/>
    </w:pPr>
  </w:style>
  <w:style w:type="paragraph" w:customStyle="1" w:styleId="NO">
    <w:name w:val="NO"/>
    <w:basedOn w:val="a"/>
    <w:rsid w:val="00BE0A75"/>
    <w:pPr>
      <w:keepLines/>
      <w:ind w:left="1135" w:hanging="851"/>
    </w:pPr>
  </w:style>
  <w:style w:type="paragraph" w:styleId="90">
    <w:name w:val="toc 9"/>
    <w:basedOn w:val="80"/>
    <w:semiHidden/>
    <w:rsid w:val="00BE0A75"/>
    <w:pPr>
      <w:ind w:left="1418" w:hanging="1418"/>
    </w:pPr>
  </w:style>
  <w:style w:type="paragraph" w:customStyle="1" w:styleId="EX">
    <w:name w:val="EX"/>
    <w:basedOn w:val="a"/>
    <w:rsid w:val="00BE0A75"/>
    <w:pPr>
      <w:keepLines/>
      <w:ind w:left="1702" w:hanging="1418"/>
    </w:pPr>
  </w:style>
  <w:style w:type="paragraph" w:customStyle="1" w:styleId="FP">
    <w:name w:val="FP"/>
    <w:basedOn w:val="a"/>
    <w:rsid w:val="00BE0A75"/>
    <w:pPr>
      <w:spacing w:after="0"/>
    </w:pPr>
  </w:style>
  <w:style w:type="paragraph" w:customStyle="1" w:styleId="LD">
    <w:name w:val="LD"/>
    <w:rsid w:val="00BE0A75"/>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BE0A75"/>
    <w:pPr>
      <w:spacing w:after="0"/>
    </w:pPr>
  </w:style>
  <w:style w:type="paragraph" w:customStyle="1" w:styleId="EW">
    <w:name w:val="EW"/>
    <w:basedOn w:val="EX"/>
    <w:rsid w:val="00BE0A75"/>
    <w:pPr>
      <w:spacing w:after="0"/>
    </w:pPr>
  </w:style>
  <w:style w:type="paragraph" w:styleId="60">
    <w:name w:val="toc 6"/>
    <w:basedOn w:val="50"/>
    <w:next w:val="a"/>
    <w:semiHidden/>
    <w:rsid w:val="00BE0A75"/>
    <w:pPr>
      <w:ind w:left="1985" w:hanging="1985"/>
    </w:pPr>
  </w:style>
  <w:style w:type="paragraph" w:styleId="70">
    <w:name w:val="toc 7"/>
    <w:basedOn w:val="60"/>
    <w:next w:val="a"/>
    <w:semiHidden/>
    <w:rsid w:val="00BE0A75"/>
    <w:pPr>
      <w:ind w:left="2268" w:hanging="2268"/>
    </w:pPr>
  </w:style>
  <w:style w:type="paragraph" w:styleId="24">
    <w:name w:val="List Bullet 2"/>
    <w:basedOn w:val="af"/>
    <w:semiHidden/>
    <w:rsid w:val="00BE0A75"/>
    <w:pPr>
      <w:ind w:left="851"/>
    </w:pPr>
  </w:style>
  <w:style w:type="paragraph" w:styleId="31">
    <w:name w:val="List Bullet 3"/>
    <w:basedOn w:val="24"/>
    <w:semiHidden/>
    <w:rsid w:val="00BE0A75"/>
    <w:pPr>
      <w:ind w:left="1135"/>
    </w:pPr>
  </w:style>
  <w:style w:type="paragraph" w:styleId="ac">
    <w:name w:val="List Number"/>
    <w:basedOn w:val="a7"/>
    <w:semiHidden/>
    <w:rsid w:val="00BE0A75"/>
  </w:style>
  <w:style w:type="paragraph" w:customStyle="1" w:styleId="EQ">
    <w:name w:val="EQ"/>
    <w:basedOn w:val="a"/>
    <w:next w:val="a"/>
    <w:rsid w:val="00BE0A75"/>
    <w:pPr>
      <w:keepLines/>
      <w:tabs>
        <w:tab w:val="center" w:pos="4536"/>
        <w:tab w:val="right" w:pos="9072"/>
      </w:tabs>
    </w:pPr>
    <w:rPr>
      <w:noProof/>
    </w:rPr>
  </w:style>
  <w:style w:type="paragraph" w:customStyle="1" w:styleId="TH">
    <w:name w:val="TH"/>
    <w:basedOn w:val="a"/>
    <w:link w:val="THChar"/>
    <w:rsid w:val="00BE0A75"/>
    <w:pPr>
      <w:keepNext/>
      <w:keepLines/>
      <w:spacing w:before="60"/>
      <w:jc w:val="center"/>
    </w:pPr>
    <w:rPr>
      <w:rFonts w:ascii="Arial" w:hAnsi="Arial"/>
      <w:b/>
    </w:rPr>
  </w:style>
  <w:style w:type="paragraph" w:customStyle="1" w:styleId="NF">
    <w:name w:val="NF"/>
    <w:basedOn w:val="NO"/>
    <w:rsid w:val="00BE0A75"/>
    <w:pPr>
      <w:keepNext/>
      <w:spacing w:after="0"/>
    </w:pPr>
    <w:rPr>
      <w:rFonts w:ascii="Arial" w:hAnsi="Arial"/>
      <w:sz w:val="18"/>
    </w:rPr>
  </w:style>
  <w:style w:type="paragraph" w:customStyle="1" w:styleId="PL">
    <w:name w:val="PL"/>
    <w:rsid w:val="00BE0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BE0A75"/>
    <w:pPr>
      <w:jc w:val="right"/>
    </w:pPr>
  </w:style>
  <w:style w:type="paragraph" w:customStyle="1" w:styleId="H6">
    <w:name w:val="H6"/>
    <w:basedOn w:val="5"/>
    <w:next w:val="a"/>
    <w:rsid w:val="00BE0A75"/>
    <w:pPr>
      <w:ind w:left="1985" w:hanging="1985"/>
      <w:outlineLvl w:val="9"/>
    </w:pPr>
    <w:rPr>
      <w:sz w:val="20"/>
    </w:rPr>
  </w:style>
  <w:style w:type="paragraph" w:customStyle="1" w:styleId="TAN">
    <w:name w:val="TAN"/>
    <w:basedOn w:val="TAL"/>
    <w:rsid w:val="00BE0A75"/>
    <w:pPr>
      <w:ind w:left="851" w:hanging="851"/>
    </w:pPr>
  </w:style>
  <w:style w:type="paragraph" w:customStyle="1" w:styleId="TAL">
    <w:name w:val="TAL"/>
    <w:basedOn w:val="a"/>
    <w:link w:val="TALChar"/>
    <w:rsid w:val="00BE0A75"/>
    <w:pPr>
      <w:keepNext/>
      <w:keepLines/>
      <w:spacing w:after="0"/>
    </w:pPr>
    <w:rPr>
      <w:rFonts w:ascii="Arial" w:hAnsi="Arial"/>
      <w:sz w:val="18"/>
    </w:rPr>
  </w:style>
  <w:style w:type="paragraph" w:customStyle="1" w:styleId="ZA">
    <w:name w:val="ZA"/>
    <w:rsid w:val="00BE0A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E0A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BE0A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BE0A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BE0A75"/>
    <w:pPr>
      <w:framePr w:wrap="notBeside" w:y="16161"/>
    </w:pPr>
  </w:style>
  <w:style w:type="character" w:customStyle="1" w:styleId="ZGSM">
    <w:name w:val="ZGSM"/>
    <w:rsid w:val="00BE0A75"/>
  </w:style>
  <w:style w:type="paragraph" w:styleId="25">
    <w:name w:val="List 2"/>
    <w:basedOn w:val="a7"/>
    <w:semiHidden/>
    <w:rsid w:val="00BE0A75"/>
    <w:pPr>
      <w:ind w:left="851"/>
    </w:pPr>
  </w:style>
  <w:style w:type="paragraph" w:customStyle="1" w:styleId="ZG">
    <w:name w:val="ZG"/>
    <w:rsid w:val="00BE0A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32">
    <w:name w:val="List 3"/>
    <w:basedOn w:val="25"/>
    <w:semiHidden/>
    <w:rsid w:val="00BE0A75"/>
    <w:pPr>
      <w:ind w:left="1135"/>
    </w:pPr>
  </w:style>
  <w:style w:type="paragraph" w:styleId="41">
    <w:name w:val="List 4"/>
    <w:basedOn w:val="32"/>
    <w:semiHidden/>
    <w:rsid w:val="00BE0A75"/>
    <w:pPr>
      <w:ind w:left="1418"/>
    </w:pPr>
  </w:style>
  <w:style w:type="paragraph" w:styleId="51">
    <w:name w:val="List 5"/>
    <w:basedOn w:val="41"/>
    <w:semiHidden/>
    <w:rsid w:val="00BE0A75"/>
    <w:pPr>
      <w:ind w:left="1702"/>
    </w:pPr>
  </w:style>
  <w:style w:type="paragraph" w:customStyle="1" w:styleId="EditorsNote">
    <w:name w:val="Editor's Note"/>
    <w:basedOn w:val="NO"/>
    <w:rsid w:val="00BE0A75"/>
    <w:rPr>
      <w:color w:val="FF0000"/>
    </w:rPr>
  </w:style>
  <w:style w:type="paragraph" w:styleId="a7">
    <w:name w:val="List"/>
    <w:basedOn w:val="a"/>
    <w:semiHidden/>
    <w:rsid w:val="00BE0A75"/>
    <w:pPr>
      <w:ind w:left="568" w:hanging="284"/>
    </w:pPr>
  </w:style>
  <w:style w:type="paragraph" w:styleId="af">
    <w:name w:val="List Bullet"/>
    <w:basedOn w:val="a7"/>
    <w:semiHidden/>
    <w:rsid w:val="00BE0A75"/>
  </w:style>
  <w:style w:type="paragraph" w:styleId="42">
    <w:name w:val="List Bullet 4"/>
    <w:basedOn w:val="31"/>
    <w:semiHidden/>
    <w:rsid w:val="00BE0A75"/>
    <w:pPr>
      <w:ind w:left="1418"/>
    </w:pPr>
  </w:style>
  <w:style w:type="paragraph" w:styleId="52">
    <w:name w:val="List Bullet 5"/>
    <w:basedOn w:val="42"/>
    <w:semiHidden/>
    <w:rsid w:val="00BE0A75"/>
    <w:pPr>
      <w:ind w:left="1702"/>
    </w:pPr>
  </w:style>
  <w:style w:type="paragraph" w:customStyle="1" w:styleId="B2">
    <w:name w:val="B2"/>
    <w:basedOn w:val="25"/>
    <w:rsid w:val="00BE0A75"/>
  </w:style>
  <w:style w:type="paragraph" w:customStyle="1" w:styleId="B3">
    <w:name w:val="B3"/>
    <w:basedOn w:val="32"/>
    <w:rsid w:val="00BE0A75"/>
  </w:style>
  <w:style w:type="paragraph" w:customStyle="1" w:styleId="B4">
    <w:name w:val="B4"/>
    <w:basedOn w:val="41"/>
    <w:rsid w:val="00BE0A75"/>
  </w:style>
  <w:style w:type="paragraph" w:customStyle="1" w:styleId="B5">
    <w:name w:val="B5"/>
    <w:basedOn w:val="51"/>
    <w:rsid w:val="00BE0A75"/>
  </w:style>
  <w:style w:type="paragraph" w:customStyle="1" w:styleId="ZTD">
    <w:name w:val="ZTD"/>
    <w:basedOn w:val="ZB"/>
    <w:rsid w:val="00BE0A75"/>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eastAsia="en-US"/>
    </w:rPr>
  </w:style>
  <w:style w:type="character" w:customStyle="1" w:styleId="B1Char">
    <w:name w:val="B1 Char"/>
    <w:link w:val="B1"/>
    <w:rsid w:val="00FE1D8A"/>
    <w:rPr>
      <w:rFonts w:eastAsia="Times New Roman"/>
      <w:lang w:eastAsia="en-US"/>
    </w:rPr>
  </w:style>
  <w:style w:type="paragraph" w:customStyle="1" w:styleId="Contact">
    <w:name w:val="Contact"/>
    <w:basedOn w:val="4"/>
    <w:rsid w:val="00471E5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THChar">
    <w:name w:val="TH Char"/>
    <w:link w:val="TH"/>
    <w:rsid w:val="00E26A6B"/>
    <w:rPr>
      <w:rFonts w:ascii="Arial" w:eastAsia="Times New Roman" w:hAnsi="Arial"/>
      <w:b/>
      <w:lang w:eastAsia="en-US"/>
    </w:rPr>
  </w:style>
  <w:style w:type="character" w:customStyle="1" w:styleId="TALChar">
    <w:name w:val="TAL Char"/>
    <w:link w:val="TAL"/>
    <w:rsid w:val="00E26A6B"/>
    <w:rPr>
      <w:rFonts w:ascii="Arial" w:eastAsia="Times New Roman" w:hAnsi="Arial"/>
      <w:sz w:val="18"/>
      <w:lang w:eastAsia="en-US"/>
    </w:rPr>
  </w:style>
  <w:style w:type="character" w:customStyle="1" w:styleId="TAHCar">
    <w:name w:val="TAH Car"/>
    <w:link w:val="TAH"/>
    <w:rsid w:val="00E26A6B"/>
    <w:rPr>
      <w:rFonts w:ascii="Arial" w:eastAsia="Times New Roman" w:hAnsi="Arial"/>
      <w:b/>
      <w:sz w:val="18"/>
      <w:lang w:eastAsia="en-US"/>
    </w:rPr>
  </w:style>
  <w:style w:type="paragraph" w:styleId="af1">
    <w:name w:val="annotation subject"/>
    <w:basedOn w:val="a5"/>
    <w:next w:val="a5"/>
    <w:link w:val="Char3"/>
    <w:uiPriority w:val="99"/>
    <w:semiHidden/>
    <w:unhideWhenUsed/>
    <w:rsid w:val="00480380"/>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480380"/>
    <w:rPr>
      <w:rFonts w:ascii="Arial" w:eastAsia="Times New Roman" w:hAnsi="Arial"/>
      <w:lang w:eastAsia="en-US"/>
    </w:rPr>
  </w:style>
  <w:style w:type="character" w:customStyle="1" w:styleId="Char3">
    <w:name w:val="批注主题 Char"/>
    <w:basedOn w:val="Char0"/>
    <w:link w:val="af1"/>
    <w:uiPriority w:val="99"/>
    <w:semiHidden/>
    <w:rsid w:val="00480380"/>
    <w:rPr>
      <w:rFonts w:ascii="Arial" w:eastAsia="Times New Roman" w:hAnsi="Arial"/>
      <w:b/>
      <w:bCs/>
      <w:lang w:eastAsia="en-US"/>
    </w:rPr>
  </w:style>
  <w:style w:type="paragraph" w:styleId="af2">
    <w:name w:val="Revision"/>
    <w:hidden/>
    <w:uiPriority w:val="99"/>
    <w:semiHidden/>
    <w:rsid w:val="0048038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97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22</cp:revision>
  <cp:lastPrinted>2002-04-23T07:10:00Z</cp:lastPrinted>
  <dcterms:created xsi:type="dcterms:W3CDTF">2020-04-24T02:18:00Z</dcterms:created>
  <dcterms:modified xsi:type="dcterms:W3CDTF">2020-04-24T02:20:00Z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(3)FfBorfePjBo3E9qgrB8YkA1xGGUGa5SW4lalQaJHSlrVHcar5CdAUCWy+WMvzQdbTetWk6Pq
ioxx3/SYboJba1qz59lqppGFRl2FgwlPvv97Cqw0H0+JPShcUEDbW1v4fdqxLZNtjn34Dh8x
afzJn1kZZx79qsMLGnOyhajB9lEa/NYXAriOCW2jxeY1rIAmnLUSDhbY5CgOZ/VNNfgBOYD8
+nb8jPpochNkowIp5F</vt:lpwstr>
  </property>
  <property fmtid="{D5CDD505-2E9C-101B-9397-08002B2CF9AE}" pid="3" name="_2015_ms_pID_7253431">
    <vt:lpwstr>nCTqc4210X0jRrh0tu8EdpRBu7AniCcwzvd7/YRybf4bzqWPUgKlLJ
fNWmLIBnROFFL470iQSDTRknX1ZXten4xebDuUrMr6pr5F6CqEPx1pLmv0PjnUFLkvjQiuJl
ItxAWy/K3DRke15ze/HIOuuhDpQpIcXE6jc6XAAdYiuz1c2Hwrvae9UlK6hNsDv2XAYYGJYP
JkoGWFk9PZJnBMDGlGmRXsp2IRVa6kBMzN1M</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1587636101</vt:lpwstr>
  </property>
</Properties>
</file>